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7F" w:rsidRDefault="0033227F" w:rsidP="0033227F">
      <w:pPr>
        <w:jc w:val="both"/>
        <w:rPr>
          <w:rFonts w:ascii="Garamond" w:hAnsi="Garamond" w:cs="Garamond"/>
          <w:sz w:val="28"/>
          <w:szCs w:val="28"/>
        </w:rPr>
      </w:pPr>
      <w:r>
        <w:rPr>
          <w:rFonts w:ascii="Garamond" w:hAnsi="Garamond" w:cs="Garamond"/>
          <w:sz w:val="28"/>
          <w:szCs w:val="28"/>
        </w:rPr>
        <w:t xml:space="preserve">w dniu 10 września 2015 r. wziąłem udział w Konferencji pt. „Elektroniczne Biuro Podawcze”, która odbyła się w siedzibie Ministerstwa Sprawiedliwości przy Al. Ujazdowskich 11 w Warszawie. </w:t>
      </w:r>
    </w:p>
    <w:p w:rsidR="0033227F" w:rsidRDefault="0033227F" w:rsidP="0033227F">
      <w:pPr>
        <w:jc w:val="both"/>
        <w:rPr>
          <w:rFonts w:ascii="Garamond" w:hAnsi="Garamond" w:cs="Garamond"/>
          <w:sz w:val="28"/>
          <w:szCs w:val="28"/>
        </w:rPr>
      </w:pPr>
      <w:r>
        <w:rPr>
          <w:rFonts w:ascii="Garamond" w:hAnsi="Garamond" w:cs="Garamond"/>
          <w:sz w:val="28"/>
          <w:szCs w:val="28"/>
        </w:rPr>
        <w:tab/>
        <w:t xml:space="preserve">Organizatorem konferencji był Pełnomocnik Ministra Sprawiedliwości – Koordynator Krajowy ds. wdrożeń systemów teleinformatycznych prof. dr hab. Jacek </w:t>
      </w:r>
      <w:proofErr w:type="spellStart"/>
      <w:r>
        <w:rPr>
          <w:rFonts w:ascii="Garamond" w:hAnsi="Garamond" w:cs="Garamond"/>
          <w:sz w:val="28"/>
          <w:szCs w:val="28"/>
        </w:rPr>
        <w:t>Gołaczyński</w:t>
      </w:r>
      <w:proofErr w:type="spellEnd"/>
      <w:r>
        <w:rPr>
          <w:rFonts w:ascii="Garamond" w:hAnsi="Garamond" w:cs="Garamond"/>
          <w:sz w:val="28"/>
          <w:szCs w:val="28"/>
        </w:rPr>
        <w:t>. Wzięli w niej udział przedstawiciele resortu sprawiedliwości, praktyki prawniczej, jak i nauki prawa. Patronat nad Konferencją objął Minister Sprawiedliwości.</w:t>
      </w:r>
    </w:p>
    <w:p w:rsidR="0033227F" w:rsidRDefault="0033227F" w:rsidP="0033227F">
      <w:pPr>
        <w:jc w:val="both"/>
        <w:rPr>
          <w:rFonts w:ascii="Garamond" w:hAnsi="Garamond" w:cs="Garamond"/>
          <w:sz w:val="28"/>
          <w:szCs w:val="28"/>
        </w:rPr>
      </w:pPr>
      <w:r>
        <w:rPr>
          <w:rFonts w:ascii="Garamond" w:hAnsi="Garamond" w:cs="Garamond"/>
          <w:sz w:val="28"/>
          <w:szCs w:val="28"/>
        </w:rPr>
        <w:tab/>
        <w:t xml:space="preserve">Konferencję otworzył dr Borys Budka – Minister Sprawiedliwości oraz prof. dr hab. Jacek </w:t>
      </w:r>
      <w:proofErr w:type="spellStart"/>
      <w:r>
        <w:rPr>
          <w:rFonts w:ascii="Garamond" w:hAnsi="Garamond" w:cs="Garamond"/>
          <w:sz w:val="28"/>
          <w:szCs w:val="28"/>
        </w:rPr>
        <w:t>Gołaczyński</w:t>
      </w:r>
      <w:proofErr w:type="spellEnd"/>
      <w:r>
        <w:rPr>
          <w:rFonts w:ascii="Garamond" w:hAnsi="Garamond" w:cs="Garamond"/>
          <w:sz w:val="28"/>
          <w:szCs w:val="28"/>
        </w:rPr>
        <w:t xml:space="preserve">. Następnie prof. dr hab. Jacek </w:t>
      </w:r>
      <w:proofErr w:type="spellStart"/>
      <w:r>
        <w:rPr>
          <w:rFonts w:ascii="Garamond" w:hAnsi="Garamond" w:cs="Garamond"/>
          <w:sz w:val="28"/>
          <w:szCs w:val="28"/>
        </w:rPr>
        <w:t>Gołaczyński</w:t>
      </w:r>
      <w:proofErr w:type="spellEnd"/>
      <w:r>
        <w:rPr>
          <w:rFonts w:ascii="Garamond" w:hAnsi="Garamond" w:cs="Garamond"/>
          <w:sz w:val="28"/>
          <w:szCs w:val="28"/>
        </w:rPr>
        <w:t xml:space="preserve"> wygłosił wykład – „Elektroniczne Biuro Podawce – podstawowe założenia”.</w:t>
      </w:r>
    </w:p>
    <w:p w:rsidR="0033227F" w:rsidRDefault="0033227F" w:rsidP="0033227F">
      <w:pPr>
        <w:jc w:val="both"/>
        <w:rPr>
          <w:rFonts w:ascii="Garamond" w:hAnsi="Garamond" w:cs="Garamond"/>
          <w:sz w:val="28"/>
          <w:szCs w:val="28"/>
        </w:rPr>
      </w:pPr>
      <w:r>
        <w:rPr>
          <w:rFonts w:ascii="Garamond" w:hAnsi="Garamond" w:cs="Garamond"/>
          <w:sz w:val="28"/>
          <w:szCs w:val="28"/>
        </w:rPr>
        <w:tab/>
        <w:t xml:space="preserve">Kolejno w trakcie konferencji zostały zaprezentowane dotychczasowe osiągnięcia w zakresie informatyzacji postępowania cywilnego, w szczególności: elektroniczne postępowanie upominawcze oraz informatyzacja postępowań rejestrowych. Wykłady przygotowali i wygłosili m.in: dr hab. Jacek </w:t>
      </w:r>
      <w:proofErr w:type="spellStart"/>
      <w:r>
        <w:rPr>
          <w:rFonts w:ascii="Garamond" w:hAnsi="Garamond" w:cs="Garamond"/>
          <w:sz w:val="28"/>
          <w:szCs w:val="28"/>
        </w:rPr>
        <w:t>Widło</w:t>
      </w:r>
      <w:proofErr w:type="spellEnd"/>
      <w:r>
        <w:rPr>
          <w:rFonts w:ascii="Garamond" w:hAnsi="Garamond" w:cs="Garamond"/>
          <w:sz w:val="28"/>
          <w:szCs w:val="28"/>
        </w:rPr>
        <w:t xml:space="preserve"> (prof. KUL, sędzia Sądu Okręgowego w Lublinie), r. pr. Anna Zalesińska (radca prawny Sądu Apelacyjnego we Wrocławiu), dr Sylwia Kotecka (główny specjalista ds. </w:t>
      </w:r>
      <w:proofErr w:type="spellStart"/>
      <w:r>
        <w:rPr>
          <w:rFonts w:ascii="Garamond" w:hAnsi="Garamond" w:cs="Garamond"/>
          <w:sz w:val="28"/>
          <w:szCs w:val="28"/>
        </w:rPr>
        <w:t>legislacyjno</w:t>
      </w:r>
      <w:proofErr w:type="spellEnd"/>
      <w:r>
        <w:rPr>
          <w:rFonts w:ascii="Garamond" w:hAnsi="Garamond" w:cs="Garamond"/>
          <w:sz w:val="28"/>
          <w:szCs w:val="28"/>
        </w:rPr>
        <w:t xml:space="preserve"> – prawnych Sądu Apelacyjnego we Wrocławiu), dr Mariusz </w:t>
      </w:r>
      <w:proofErr w:type="spellStart"/>
      <w:r>
        <w:rPr>
          <w:rFonts w:ascii="Garamond" w:hAnsi="Garamond" w:cs="Garamond"/>
          <w:sz w:val="28"/>
          <w:szCs w:val="28"/>
        </w:rPr>
        <w:t>Uliasz</w:t>
      </w:r>
      <w:proofErr w:type="spellEnd"/>
      <w:r>
        <w:rPr>
          <w:rFonts w:ascii="Garamond" w:hAnsi="Garamond" w:cs="Garamond"/>
          <w:sz w:val="28"/>
          <w:szCs w:val="28"/>
        </w:rPr>
        <w:t xml:space="preserve"> (SSR Lublin - Zachód w Lublinie, Główny Specjalista w Departamencie Prawa Cywilnego w Ministerstwie Sprawiedliwości, dr Marek Leśniak (notariusz, wykładowca </w:t>
      </w:r>
      <w:proofErr w:type="spellStart"/>
      <w:r>
        <w:rPr>
          <w:rFonts w:ascii="Garamond" w:hAnsi="Garamond" w:cs="Garamond"/>
          <w:sz w:val="28"/>
          <w:szCs w:val="28"/>
        </w:rPr>
        <w:t>UWr</w:t>
      </w:r>
      <w:proofErr w:type="spellEnd"/>
      <w:r>
        <w:rPr>
          <w:rFonts w:ascii="Garamond" w:hAnsi="Garamond" w:cs="Garamond"/>
          <w:sz w:val="28"/>
          <w:szCs w:val="28"/>
        </w:rPr>
        <w:t xml:space="preserve">.), Szymon Wiśniewski (Zastępca Dyrektora Departamentu Strategii i Funduszy Europejskich Ministra Sprawiedliwości), dr hab. Dariusz Szostak (radca prawny, prof. UO). </w:t>
      </w:r>
    </w:p>
    <w:p w:rsidR="0033227F" w:rsidRDefault="0033227F" w:rsidP="0033227F">
      <w:pPr>
        <w:jc w:val="both"/>
        <w:rPr>
          <w:rFonts w:ascii="Garamond" w:hAnsi="Garamond" w:cs="Garamond"/>
          <w:sz w:val="28"/>
          <w:szCs w:val="28"/>
        </w:rPr>
      </w:pPr>
      <w:r>
        <w:rPr>
          <w:rFonts w:ascii="Garamond" w:hAnsi="Garamond" w:cs="Garamond"/>
          <w:sz w:val="28"/>
          <w:szCs w:val="28"/>
        </w:rPr>
        <w:tab/>
        <w:t>Przedmiotem obrad były zagadnienia związane Elektronicznym Biurem Podawczym, jako przystępniejszego dla stron sposobu na komunikację obywatela z sądem w postępowaniu cywilnym. Podstawą prawną do budowy Elektronicznego Biura Podawczego jest ustawa z dnia 10 lipca 2015 r. o zmianie ustawy – Kodeks cywilny, ustawy – Kodeks postępowania cywilnego oraz niektórych innych ustaw, podpisania przez Prezydenta Rzeczypospolitej Polskiej dnia 31 lipca 2015 r., która wejdzie w życie w 8 września 2016 r. Wszystkie sądy będą musiały umożliwić stronom wnoszenie pism procesowych drogą elektroniczną za pomocą aplikacji „Elektroniczne Biuro Podawcze” w terminie 3 lat od wejścia w życie nowych przepisów.</w:t>
      </w:r>
    </w:p>
    <w:p w:rsidR="0033227F" w:rsidRDefault="0033227F" w:rsidP="0033227F">
      <w:pPr>
        <w:jc w:val="both"/>
        <w:rPr>
          <w:rFonts w:ascii="Garamond" w:hAnsi="Garamond" w:cs="Garamond"/>
          <w:sz w:val="28"/>
          <w:szCs w:val="28"/>
        </w:rPr>
      </w:pPr>
      <w:r>
        <w:rPr>
          <w:rFonts w:ascii="Garamond" w:hAnsi="Garamond" w:cs="Garamond"/>
          <w:sz w:val="28"/>
          <w:szCs w:val="28"/>
        </w:rPr>
        <w:tab/>
        <w:t>Przyjęty projekt legislacyjny zakłada możliwość wnoszenia pism procesowych za pośrednictwem systemu teleinformatycznego również w tzw. tradycyjnych postępowaniach cywilnych. Strona postępowania będzie mogła w konkretnej sprawie dokonać wyboru drogi elektronicznej lub z niej zrezygnować. Wybór i rezygnacja z drogi elektronicznej będą dokonywane przez złożenie oświadczenia za pośrednictwem systemu teleinformatycznego. Natomiast jeżeli wnoszenie pism za pomocą systemu teleinformatycznego jest obligatoryjne albo strona wybrała wnoszenie pism za pośrednictwem tego systemu, to pismo wniesione z pominięciem tej drogi nie wywoła skutków, jakie ustawa wiąże z wniesieniem pisma do sądu. Sąd będzie obowiązany pouczyć o tym stronę jeszcze przed wniesieniem pisma. W praktyce pouczenie takie będzie generowane przez system teleinformatyczny.</w:t>
      </w:r>
    </w:p>
    <w:p w:rsidR="0033227F" w:rsidRDefault="0033227F" w:rsidP="0033227F">
      <w:pPr>
        <w:pStyle w:val="Tekstpodstawowy"/>
        <w:spacing w:after="0"/>
        <w:jc w:val="both"/>
        <w:rPr>
          <w:rFonts w:ascii="Garamond" w:hAnsi="Garamond" w:cs="Garamond"/>
          <w:sz w:val="28"/>
          <w:szCs w:val="28"/>
        </w:rPr>
      </w:pPr>
      <w:r>
        <w:rPr>
          <w:rFonts w:ascii="Garamond" w:hAnsi="Garamond" w:cs="Garamond"/>
          <w:sz w:val="28"/>
          <w:szCs w:val="28"/>
        </w:rPr>
        <w:lastRenderedPageBreak/>
        <w:tab/>
        <w:t>Pismo procesowe wnoszone za pośrednictwem systemu teleinformatycznego będzie podpisywane podpisem elektronicznym weryfikowanym za pomocą ważnego kwalifikowanego certyfikatu albo podpisem elektronicznym potwierdzonym profilem zaufanym e-PUAP. Przepisy szczególne będą mogły odmiennie regulować tę kwestię. Przykładowo, w odniesieniu do pism składanych w elektronicznym postępowaniu upominawczym nadal będzie dopuszczalne posługiwanie się podpisem elektronicznym nadawanym w systemie teleinformatycznym obsługującym to postępowanie.</w:t>
      </w:r>
    </w:p>
    <w:p w:rsidR="0033227F" w:rsidRDefault="0033227F" w:rsidP="0033227F">
      <w:pPr>
        <w:pStyle w:val="Tekstpodstawowy"/>
        <w:spacing w:after="0"/>
        <w:jc w:val="both"/>
        <w:rPr>
          <w:rFonts w:ascii="Garamond" w:hAnsi="Garamond" w:cs="Garamond"/>
          <w:sz w:val="28"/>
          <w:szCs w:val="28"/>
        </w:rPr>
      </w:pPr>
      <w:r>
        <w:rPr>
          <w:rFonts w:ascii="Garamond" w:hAnsi="Garamond" w:cs="Garamond"/>
          <w:sz w:val="28"/>
          <w:szCs w:val="28"/>
        </w:rPr>
        <w:tab/>
        <w:t>Nowelizacja Kodeksu postępowania cywilnego znacząco rozszerzyła stosowanie doręczeń elektronicznych. Będą one dokonywane przez sąd wówczas, gdy strona postępowania wniosła pismo za pośrednictwem systemu teleinformatycznego albo wybrała wnoszenie pism za pośrednictwem tego systemu. Rezygnacja z wnoszenia pism za pomocą systemu teleinformatycznego będzie jednak obejmowała także rezygnację z doręczeń elektronicznych. Doręczenie elektroniczne nastąpi w chwili wskazanej w potwierdzeniu odbioru korespondencji (faktycznie będzie to chwila „wejścia” na konto użytkownika w systemie informatycznym). Do doręczeń elektronicznych nie znajdą zastosowania ograniczenia przewidziane dotyczące doręczania w porze nocnej oraz w dni ustawowo uznane za wolne od pracy. W razie braku potwierdzenia odbioru, doręczenie elektroniczne będzie uznawane za skuteczne z upływem czternastu dni od daty umieszczenia pisma w systemie teleinformatycznym.</w:t>
      </w:r>
    </w:p>
    <w:p w:rsidR="0033227F" w:rsidRDefault="0033227F" w:rsidP="0033227F">
      <w:pPr>
        <w:pStyle w:val="Tekstpodstawowy"/>
        <w:spacing w:after="0"/>
        <w:jc w:val="both"/>
        <w:rPr>
          <w:rFonts w:ascii="Garamond" w:hAnsi="Garamond" w:cs="Garamond"/>
          <w:sz w:val="28"/>
          <w:szCs w:val="28"/>
        </w:rPr>
      </w:pPr>
      <w:r>
        <w:rPr>
          <w:rFonts w:ascii="Garamond" w:hAnsi="Garamond" w:cs="Garamond"/>
          <w:sz w:val="28"/>
          <w:szCs w:val="28"/>
        </w:rPr>
        <w:tab/>
        <w:t xml:space="preserve">Jeżeli pismo procesowe zostało wniesione za pośrednictwem systemu teleinformatycznego albo orzeczenie lub inne pismo sądowe zostało utrwalone w tym systemie, a ich odpisy podlegają doręczeniu w tradycyjny sposób, to zamiast odpisu pisma lub orzeczenia będzie mógł być doręczony dokument uzyskany z systemu teleinformatycznego, czyli wydruk pisma z tego systemu. Dokument ten będzie posiadać cechy umożliwiające weryfikację istnienia i treści pisma w systemie teleinformatycznym. Dokument posiadający powyższe cechy będzie miał moc dokumentu wydawanego przez sąd. </w:t>
      </w:r>
    </w:p>
    <w:p w:rsidR="0033227F" w:rsidRDefault="0033227F" w:rsidP="0033227F">
      <w:pPr>
        <w:jc w:val="both"/>
        <w:rPr>
          <w:rFonts w:ascii="Garamond" w:hAnsi="Garamond" w:cs="Garamond"/>
          <w:sz w:val="28"/>
          <w:szCs w:val="28"/>
        </w:rPr>
      </w:pPr>
      <w:r>
        <w:rPr>
          <w:rFonts w:ascii="Garamond" w:hAnsi="Garamond" w:cs="Garamond"/>
          <w:sz w:val="28"/>
          <w:szCs w:val="28"/>
        </w:rPr>
        <w:tab/>
        <w:t>R</w:t>
      </w:r>
      <w:r>
        <w:rPr>
          <w:rFonts w:ascii="Garamond" w:hAnsi="Garamond"/>
          <w:sz w:val="28"/>
          <w:szCs w:val="28"/>
        </w:rPr>
        <w:t xml:space="preserve">ozporządzeniem Ministra Sprawiedliwości z dnia 19 kwietnia 2013 r. zmieniającym rozporządzenie z dnia 12 października 2010 r. w sprawie szczegółowego trybu i sposobu doręczania pism sądowych w postępowaniu cywilnym (Dz. U., poz. 600), które weszło w życie w dniu 6 czerwca 2013 r., </w:t>
      </w:r>
      <w:r>
        <w:t xml:space="preserve"> w</w:t>
      </w:r>
      <w:r>
        <w:rPr>
          <w:rFonts w:ascii="Garamond" w:hAnsi="Garamond" w:cs="Garamond"/>
          <w:sz w:val="28"/>
          <w:szCs w:val="28"/>
        </w:rPr>
        <w:t xml:space="preserve">prowadzono już przepis, na mocy którego doręczenie może być potwierdzone nie tylko pisemnie, za pomocą tradycyjnego potwierdzenia odbioru, ale również w postaci danych informatycznych w systemie teleinformatycznym operatora pocztowego albo dokumentu uzyskanego z systemu teleinformatycznego. Jest to elektroniczne potwierdzenie odbioru. </w:t>
      </w:r>
    </w:p>
    <w:p w:rsidR="0033227F" w:rsidRDefault="0033227F" w:rsidP="0033227F">
      <w:pPr>
        <w:jc w:val="both"/>
        <w:rPr>
          <w:rFonts w:ascii="Garamond" w:hAnsi="Garamond" w:cs="Garamond"/>
          <w:sz w:val="28"/>
          <w:szCs w:val="28"/>
        </w:rPr>
      </w:pPr>
      <w:r>
        <w:rPr>
          <w:rFonts w:ascii="Garamond" w:hAnsi="Garamond" w:cs="Garamond"/>
          <w:sz w:val="28"/>
          <w:szCs w:val="28"/>
        </w:rPr>
        <w:tab/>
        <w:t xml:space="preserve">Po referatach otwarto dyskusję, w której głos zabrali zarówno przedstawiciele doktryny jak i praktycy. </w:t>
      </w:r>
    </w:p>
    <w:p w:rsidR="0033227F" w:rsidRDefault="0033227F" w:rsidP="0033227F">
      <w:pPr>
        <w:jc w:val="both"/>
        <w:rPr>
          <w:rFonts w:ascii="Garamond" w:hAnsi="Garamond" w:cs="Garamond"/>
          <w:sz w:val="28"/>
          <w:szCs w:val="28"/>
        </w:rPr>
      </w:pPr>
    </w:p>
    <w:p w:rsidR="008301E2" w:rsidRDefault="008301E2" w:rsidP="0033227F">
      <w:pPr>
        <w:jc w:val="both"/>
        <w:rPr>
          <w:rFonts w:ascii="Garamond" w:hAnsi="Garamond" w:cs="Garamond"/>
          <w:sz w:val="28"/>
          <w:szCs w:val="28"/>
        </w:rPr>
      </w:pPr>
    </w:p>
    <w:p w:rsidR="008301E2" w:rsidRDefault="008301E2" w:rsidP="0033227F">
      <w:pPr>
        <w:jc w:val="both"/>
        <w:rPr>
          <w:rFonts w:ascii="Garamond" w:hAnsi="Garamond" w:cs="Garamond"/>
          <w:sz w:val="28"/>
          <w:szCs w:val="28"/>
        </w:rPr>
      </w:pPr>
      <w:r>
        <w:rPr>
          <w:rFonts w:ascii="Garamond" w:hAnsi="Garamond" w:cs="Garamond"/>
          <w:sz w:val="28"/>
          <w:szCs w:val="28"/>
        </w:rPr>
        <w:t>a</w:t>
      </w:r>
      <w:bookmarkStart w:id="0" w:name="_GoBack"/>
      <w:bookmarkEnd w:id="0"/>
      <w:r>
        <w:rPr>
          <w:rFonts w:ascii="Garamond" w:hAnsi="Garamond" w:cs="Garamond"/>
          <w:sz w:val="28"/>
          <w:szCs w:val="28"/>
        </w:rPr>
        <w:t>dw. dr Michał Prus</w:t>
      </w:r>
    </w:p>
    <w:p w:rsidR="000E6F87" w:rsidRDefault="000E6F87"/>
    <w:sectPr w:rsidR="000E6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F"/>
    <w:rsid w:val="000E6F87"/>
    <w:rsid w:val="0033227F"/>
    <w:rsid w:val="00830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1C65B-A4EA-4273-9D7C-CEB3DD6B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27F"/>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3227F"/>
    <w:pPr>
      <w:spacing w:after="120"/>
    </w:pPr>
  </w:style>
  <w:style w:type="character" w:customStyle="1" w:styleId="TekstpodstawowyZnak">
    <w:name w:val="Tekst podstawowy Znak"/>
    <w:basedOn w:val="Domylnaczcionkaakapitu"/>
    <w:link w:val="Tekstpodstawowy"/>
    <w:rsid w:val="0033227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842</Words>
  <Characters>5053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Szczepaniak</dc:creator>
  <cp:keywords/>
  <dc:description/>
  <cp:lastModifiedBy>Mariola Szczepaniak</cp:lastModifiedBy>
  <cp:revision>2</cp:revision>
  <dcterms:created xsi:type="dcterms:W3CDTF">2015-10-01T12:38:00Z</dcterms:created>
  <dcterms:modified xsi:type="dcterms:W3CDTF">2015-10-01T12:41:00Z</dcterms:modified>
</cp:coreProperties>
</file>